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Digital Agronomist</w:t>
      </w:r>
    </w:p>
    <w:p>
      <w:pPr>
        <w:pStyle w:val="Subtitle"/>
      </w:pPr>
      <w:r>
        <w:t>A phased roadmap from five farmers to a shared agricultural service</w:t>
      </w:r>
    </w:p>
    <w:p>
      <w:pPr>
        <w:pStyle w:val="Heading1"/>
      </w:pPr>
      <w:r>
        <w:t>Start from what is already working</w:t>
      </w:r>
    </w:p>
    <w:p>
      <w:r>
        <w:rPr>
          <w:b w:val="0"/>
        </w:rPr>
        <w:t>The WhatsApp advisory service launched in October 2026. Five farmers in Bomet and Mwea are asking about weather and sharing crop photographs, covering maize, beans and rice. Early usage is approximately 20 messages in a week, as reported by the builder. This is a starting point for learning, not proof of improved farm outcomes.</w:t>
      </w:r>
    </w:p>
    <w:p>
      <w:r>
        <w:rPr>
          <w:b w:val="0"/>
        </w:rPr>
      </w:r>
      <w:r>
        <w:rPr>
          <w:b/>
        </w:rPr>
        <w:t>Guiding principle:</w:t>
      </w:r>
      <w:r>
        <w:rPr>
          <w:b w:val="0"/>
        </w:rPr>
        <w:t xml:space="preserve"> Keep WhatsApp as the familiar farmer interface. Build records, professional support and monitoring behind it. Buy equipment only when a clear need and the evidence justify it.</w:t>
      </w:r>
    </w:p>
    <w:tbl>
      <w:tblPr>
        <w:tblStyle w:val="TableGrid"/>
        <w:tblW w:type="auto" w:w="0"/>
        <w:tblLook w:firstColumn="1" w:firstRow="1" w:lastColumn="0" w:lastRow="0" w:noHBand="0" w:noVBand="1" w:val="04A0"/>
      </w:tblPr>
      <w:tblGrid>
        <w:gridCol w:w="3251"/>
        <w:gridCol w:w="3251"/>
        <w:gridCol w:w="3251"/>
      </w:tblGrid>
      <w:tr>
        <w:trPr>
          <w:cantSplit/>
          <w:tblHeader/>
        </w:trPr>
        <w:tc>
          <w:tcPr>
            <w:tcW w:type="dxa" w:w="1950"/>
            <w:shd w:fill="153F35"/>
          </w:tcPr>
          <w:p>
            <w:r>
              <w:rPr>
                <w:b/>
                <w:color w:val="FFFFFF"/>
                <w:sz w:val="18"/>
              </w:rPr>
              <w:t>Phase</w:t>
            </w:r>
          </w:p>
        </w:tc>
        <w:tc>
          <w:tcPr>
            <w:tcW w:type="dxa" w:w="3900"/>
            <w:shd w:fill="153F35"/>
          </w:tcPr>
          <w:p>
            <w:r>
              <w:rPr>
                <w:b/>
                <w:color w:val="FFFFFF"/>
                <w:sz w:val="18"/>
              </w:rPr>
              <w:t>Main objective</w:t>
            </w:r>
          </w:p>
        </w:tc>
        <w:tc>
          <w:tcPr>
            <w:tcW w:type="dxa" w:w="3900"/>
            <w:shd w:fill="153F35"/>
          </w:tcPr>
          <w:p>
            <w:r>
              <w:rPr>
                <w:b/>
                <w:color w:val="FFFFFF"/>
                <w:sz w:val="18"/>
              </w:rPr>
              <w:t>Equipment approach</w:t>
            </w:r>
          </w:p>
        </w:tc>
      </w:tr>
      <w:tr>
        <w:trPr>
          <w:cantSplit/>
        </w:trPr>
        <w:tc>
          <w:tcPr>
            <w:tcW w:type="dxa" w:w="1950"/>
            <w:shd w:fill="F1F5EC"/>
          </w:tcPr>
          <w:p>
            <w:r>
              <w:rPr>
                <w:b w:val="0"/>
                <w:sz w:val="18"/>
              </w:rPr>
              <w:t>1. Strengthen</w:t>
            </w:r>
          </w:p>
        </w:tc>
        <w:tc>
          <w:tcPr>
            <w:tcW w:type="dxa" w:w="3900"/>
            <w:shd w:fill="F1F5EC"/>
          </w:tcPr>
          <w:p>
            <w:r>
              <w:rPr>
                <w:b w:val="0"/>
                <w:sz w:val="18"/>
              </w:rPr>
              <w:t>Make the live service dependable and farm-specific</w:t>
            </w:r>
          </w:p>
        </w:tc>
        <w:tc>
          <w:tcPr>
            <w:tcW w:type="dxa" w:w="3900"/>
            <w:shd w:fill="F1F5EC"/>
          </w:tcPr>
          <w:p>
            <w:r>
              <w:rPr>
                <w:b w:val="0"/>
                <w:sz w:val="18"/>
              </w:rPr>
              <w:t>Existing laptop and phones</w:t>
            </w:r>
          </w:p>
        </w:tc>
      </w:tr>
      <w:tr>
        <w:trPr>
          <w:cantSplit/>
        </w:trPr>
        <w:tc>
          <w:tcPr>
            <w:tcW w:type="dxa" w:w="1950"/>
            <w:shd w:fill="FFFFFF"/>
          </w:tcPr>
          <w:p>
            <w:r>
              <w:rPr>
                <w:b w:val="0"/>
                <w:sz w:val="18"/>
              </w:rPr>
              <w:t>2. Validate</w:t>
            </w:r>
          </w:p>
        </w:tc>
        <w:tc>
          <w:tcPr>
            <w:tcW w:type="dxa" w:w="3900"/>
            <w:shd w:fill="FFFFFF"/>
          </w:tcPr>
          <w:p>
            <w:r>
              <w:rPr>
                <w:b w:val="0"/>
                <w:sz w:val="18"/>
              </w:rPr>
              <w:t>Follow a supported group through a growing season</w:t>
            </w:r>
          </w:p>
        </w:tc>
        <w:tc>
          <w:tcPr>
            <w:tcW w:type="dxa" w:w="3900"/>
            <w:shd w:fill="FFFFFF"/>
          </w:tcPr>
          <w:p>
            <w:r>
              <w:rPr>
                <w:b w:val="0"/>
                <w:sz w:val="18"/>
              </w:rPr>
              <w:t>Manual sampling and a laboratory partner</w:t>
            </w:r>
          </w:p>
        </w:tc>
      </w:tr>
      <w:tr>
        <w:trPr>
          <w:cantSplit/>
        </w:trPr>
        <w:tc>
          <w:tcPr>
            <w:tcW w:type="dxa" w:w="1950"/>
            <w:shd w:fill="F1F5EC"/>
          </w:tcPr>
          <w:p>
            <w:r>
              <w:rPr>
                <w:b w:val="0"/>
                <w:sz w:val="18"/>
              </w:rPr>
              <w:t>3. Enrich</w:t>
            </w:r>
          </w:p>
        </w:tc>
        <w:tc>
          <w:tcPr>
            <w:tcW w:type="dxa" w:w="3900"/>
            <w:shd w:fill="F1F5EC"/>
          </w:tcPr>
          <w:p>
            <w:r>
              <w:rPr>
                <w:b w:val="0"/>
                <w:sz w:val="18"/>
              </w:rPr>
              <w:t>Add useful monitoring and management tools</w:t>
            </w:r>
          </w:p>
        </w:tc>
        <w:tc>
          <w:tcPr>
            <w:tcW w:type="dxa" w:w="3900"/>
            <w:shd w:fill="F1F5EC"/>
          </w:tcPr>
          <w:p>
            <w:r>
              <w:rPr>
                <w:b w:val="0"/>
                <w:sz w:val="18"/>
              </w:rPr>
              <w:t>Hired drone visits and selective sensors</w:t>
            </w:r>
          </w:p>
        </w:tc>
      </w:tr>
      <w:tr>
        <w:trPr>
          <w:cantSplit/>
        </w:trPr>
        <w:tc>
          <w:tcPr>
            <w:tcW w:type="dxa" w:w="1950"/>
            <w:shd w:fill="FFFFFF"/>
          </w:tcPr>
          <w:p>
            <w:r>
              <w:rPr>
                <w:b w:val="0"/>
                <w:sz w:val="18"/>
              </w:rPr>
              <w:t>4. Expand</w:t>
            </w:r>
          </w:p>
        </w:tc>
        <w:tc>
          <w:tcPr>
            <w:tcW w:type="dxa" w:w="3900"/>
            <w:shd w:fill="FFFFFF"/>
          </w:tcPr>
          <w:p>
            <w:r>
              <w:rPr>
                <w:b w:val="0"/>
                <w:sz w:val="18"/>
              </w:rPr>
              <w:t>Grow with evidence and dependable predictions</w:t>
            </w:r>
          </w:p>
        </w:tc>
        <w:tc>
          <w:tcPr>
            <w:tcW w:type="dxa" w:w="3900"/>
            <w:shd w:fill="FFFFFF"/>
          </w:tcPr>
          <w:p>
            <w:r>
              <w:rPr>
                <w:b w:val="0"/>
                <w:sz w:val="18"/>
              </w:rPr>
              <w:t>Shared field equipment and hosted services</w:t>
            </w:r>
          </w:p>
        </w:tc>
      </w:tr>
      <w:tr>
        <w:trPr>
          <w:cantSplit/>
        </w:trPr>
        <w:tc>
          <w:tcPr>
            <w:tcW w:type="dxa" w:w="1950"/>
            <w:shd w:fill="F1F5EC"/>
          </w:tcPr>
          <w:p>
            <w:r>
              <w:rPr>
                <w:b w:val="0"/>
                <w:sz w:val="18"/>
              </w:rPr>
              <w:t>5. Automate selectively</w:t>
            </w:r>
          </w:p>
        </w:tc>
        <w:tc>
          <w:tcPr>
            <w:tcW w:type="dxa" w:w="3900"/>
            <w:shd w:fill="F1F5EC"/>
          </w:tcPr>
          <w:p>
            <w:r>
              <w:rPr>
                <w:b w:val="0"/>
                <w:sz w:val="18"/>
              </w:rPr>
              <w:t>Address proven operational bottlenecks</w:t>
            </w:r>
          </w:p>
        </w:tc>
        <w:tc>
          <w:tcPr>
            <w:tcW w:type="dxa" w:w="3900"/>
            <w:shd w:fill="F1F5EC"/>
          </w:tcPr>
          <w:p>
            <w:r>
              <w:rPr>
                <w:b w:val="0"/>
                <w:sz w:val="18"/>
              </w:rPr>
              <w:t>Specialist trials, not assumed purchases</w:t>
            </w:r>
          </w:p>
        </w:tc>
      </w:tr>
    </w:tbl>
    <w:p>
      <w:pPr>
        <w:spacing w:after="0"/>
      </w:pPr>
    </w:p>
    <w:p>
      <w:pPr>
        <w:pStyle w:val="Heading1"/>
      </w:pPr>
      <w:r>
        <w:t>The next 30 days</w:t>
      </w:r>
    </w:p>
    <w:p>
      <w:pPr>
        <w:pStyle w:val="ListBullet"/>
      </w:pPr>
      <w:r>
        <w:rPr>
          <w:b w:val="0"/>
        </w:rPr>
        <w:t>Document what the five farmers ask and what action follows each recommendation.</w:t>
      </w:r>
    </w:p>
    <w:p>
      <w:pPr>
        <w:pStyle w:val="ListBullet"/>
      </w:pPr>
      <w:r>
        <w:rPr>
          <w:b w:val="0"/>
        </w:rPr>
        <w:t>Confirm consent and record the minimum farm information needed to give relevant advice.</w:t>
      </w:r>
    </w:p>
    <w:p>
      <w:pPr>
        <w:pStyle w:val="ListBullet"/>
      </w:pPr>
      <w:r>
        <w:rPr>
          <w:b w:val="0"/>
        </w:rPr>
        <w:t>Improve reliability and establish a clear escalation route for uncertain cases.</w:t>
      </w:r>
    </w:p>
    <w:p>
      <w:pPr>
        <w:pStyle w:val="ListBullet"/>
      </w:pPr>
      <w:r>
        <w:rPr>
          <w:b w:val="0"/>
        </w:rPr>
        <w:t>Identify an agronomist and a suitable soil laboratory for a supported pilot.</w:t>
      </w:r>
    </w:p>
    <w:p>
      <w:pPr>
        <w:pStyle w:val="ListBullet"/>
      </w:pPr>
      <w:r>
        <w:rPr>
          <w:b w:val="0"/>
        </w:rPr>
        <w:t>Define how weather information is sourced and checked before introducing proactive notifications.</w:t>
      </w:r>
    </w:p>
    <w:p>
      <w:r>
        <w:rPr>
          <w:b w:val="0"/>
        </w:rPr>
        <w:t>These phases are decision points, not a compulsory equipment ladder. A laboratory partnership can continue indefinitely. A testing hub or robotic collector is not required to expand the advisory service.</w:t>
      </w:r>
    </w:p>
    <w:p>
      <w:r>
        <w:br w:type="page"/>
      </w:r>
    </w:p>
    <w:p>
      <w:pPr>
        <w:pStyle w:val="Heading1"/>
      </w:pPr>
      <w:r>
        <w:t>Phase 1: Strengthen the live service</w:t>
      </w:r>
    </w:p>
    <w:p>
      <w:r>
        <w:rPr>
          <w:b w:val="0"/>
        </w:rPr>
      </w:r>
      <w:r>
        <w:rPr>
          <w:b/>
        </w:rPr>
        <w:t>Purpose:</w:t>
      </w:r>
      <w:r>
        <w:rPr>
          <w:b w:val="0"/>
        </w:rPr>
        <w:t xml:space="preserve"> Move from answering isolated questions to supporting the correct farm with reliable context.</w:t>
      </w:r>
    </w:p>
    <w:p>
      <w:r>
        <w:rPr>
          <w:b w:val="0"/>
        </w:rPr>
        <w:t>Maintain crop and farm histories, record advice and follow-up, and ask whether recommendations were understood and acted upon. Introduce proactive requests and weather notices only with consent and reliable information. Consequential or uncertain guidance should be reviewed by a qualified agricultural specialist.</w:t>
      </w:r>
    </w:p>
    <w:tbl>
      <w:tblPr>
        <w:tblStyle w:val="TableGrid"/>
        <w:tblW w:type="auto" w:w="0"/>
        <w:tblLook w:firstColumn="1" w:firstRow="1" w:lastColumn="0" w:lastRow="0" w:noHBand="0" w:noVBand="1" w:val="04A0"/>
      </w:tblPr>
      <w:tblGrid>
        <w:gridCol w:w="4876"/>
        <w:gridCol w:w="4876"/>
      </w:tblGrid>
      <w:tr>
        <w:trPr>
          <w:cantSplit/>
          <w:tblHeader/>
        </w:trPr>
        <w:tc>
          <w:tcPr>
            <w:tcW w:type="dxa" w:w="4193"/>
            <w:shd w:fill="153F35"/>
          </w:tcPr>
          <w:p>
            <w:r>
              <w:rPr>
                <w:b/>
                <w:color w:val="FFFFFF"/>
                <w:sz w:val="18"/>
              </w:rPr>
              <w:t>Needed equipment/resources</w:t>
            </w:r>
          </w:p>
        </w:tc>
        <w:tc>
          <w:tcPr>
            <w:tcW w:type="dxa" w:w="5558"/>
            <w:shd w:fill="153F35"/>
          </w:tcPr>
          <w:p>
            <w:r>
              <w:rPr>
                <w:b/>
                <w:color w:val="FFFFFF"/>
                <w:sz w:val="18"/>
              </w:rPr>
              <w:t>Use</w:t>
            </w:r>
          </w:p>
        </w:tc>
      </w:tr>
      <w:tr>
        <w:trPr>
          <w:cantSplit/>
        </w:trPr>
        <w:tc>
          <w:tcPr>
            <w:tcW w:type="dxa" w:w="4193"/>
            <w:shd w:fill="F1F5EC"/>
          </w:tcPr>
          <w:p>
            <w:r>
              <w:rPr>
                <w:b w:val="0"/>
                <w:sz w:val="18"/>
              </w:rPr>
              <w:t>Existing laptop and smartphones</w:t>
            </w:r>
          </w:p>
        </w:tc>
        <w:tc>
          <w:tcPr>
            <w:tcW w:type="dxa" w:w="5558"/>
            <w:shd w:fill="F1F5EC"/>
          </w:tcPr>
          <w:p>
            <w:r>
              <w:rPr>
                <w:b w:val="0"/>
                <w:sz w:val="18"/>
              </w:rPr>
              <w:t>Manage the service, photographs and farmer communication</w:t>
            </w:r>
          </w:p>
        </w:tc>
      </w:tr>
      <w:tr>
        <w:trPr>
          <w:cantSplit/>
        </w:trPr>
        <w:tc>
          <w:tcPr>
            <w:tcW w:type="dxa" w:w="4193"/>
            <w:shd w:fill="FFFFFF"/>
          </w:tcPr>
          <w:p>
            <w:r>
              <w:rPr>
                <w:b w:val="0"/>
                <w:sz w:val="18"/>
              </w:rPr>
              <w:t>Internet, charging and a power bank</w:t>
            </w:r>
          </w:p>
        </w:tc>
        <w:tc>
          <w:tcPr>
            <w:tcW w:type="dxa" w:w="5558"/>
            <w:shd w:fill="FFFFFF"/>
          </w:tcPr>
          <w:p>
            <w:r>
              <w:rPr>
                <w:b w:val="0"/>
                <w:sz w:val="18"/>
              </w:rPr>
              <w:t>Reliable field and administrative access</w:t>
            </w:r>
          </w:p>
        </w:tc>
      </w:tr>
      <w:tr>
        <w:trPr>
          <w:cantSplit/>
        </w:trPr>
        <w:tc>
          <w:tcPr>
            <w:tcW w:type="dxa" w:w="4193"/>
            <w:shd w:fill="F1F5EC"/>
          </w:tcPr>
          <w:p>
            <w:r>
              <w:rPr>
                <w:b w:val="0"/>
                <w:sz w:val="18"/>
              </w:rPr>
              <w:t>Hosted records, backups and usage monitoring</w:t>
            </w:r>
          </w:p>
        </w:tc>
        <w:tc>
          <w:tcPr>
            <w:tcW w:type="dxa" w:w="5558"/>
            <w:shd w:fill="F1F5EC"/>
          </w:tcPr>
          <w:p>
            <w:r>
              <w:rPr>
                <w:b w:val="0"/>
                <w:sz w:val="18"/>
              </w:rPr>
              <w:t>Protect continuity and understand operating costs</w:t>
            </w:r>
          </w:p>
        </w:tc>
      </w:tr>
      <w:tr>
        <w:trPr>
          <w:cantSplit/>
        </w:trPr>
        <w:tc>
          <w:tcPr>
            <w:tcW w:type="dxa" w:w="4193"/>
            <w:shd w:fill="FFFFFF"/>
          </w:tcPr>
          <w:p>
            <w:r>
              <w:rPr>
                <w:b w:val="0"/>
                <w:sz w:val="18"/>
              </w:rPr>
              <w:t>Agronomist access</w:t>
            </w:r>
          </w:p>
        </w:tc>
        <w:tc>
          <w:tcPr>
            <w:tcW w:type="dxa" w:w="5558"/>
            <w:shd w:fill="FFFFFF"/>
          </w:tcPr>
          <w:p>
            <w:r>
              <w:rPr>
                <w:b w:val="0"/>
                <w:sz w:val="18"/>
              </w:rPr>
              <w:t>Review and escalation; a professional resource, not equipment</w:t>
            </w:r>
          </w:p>
        </w:tc>
      </w:tr>
    </w:tbl>
    <w:p>
      <w:pPr>
        <w:spacing w:after="0"/>
      </w:pPr>
    </w:p>
    <w:p>
      <w:r>
        <w:rPr>
          <w:b w:val="0"/>
        </w:rPr>
      </w:r>
      <w:r>
        <w:rPr>
          <w:b/>
        </w:rPr>
        <w:t>Move forward when:</w:t>
      </w:r>
      <w:r>
        <w:rPr>
          <w:b w:val="0"/>
        </w:rPr>
        <w:t xml:space="preserve"> Farmers return, understand the advice and can describe actions taken; the system reliably keeps each farm's information separate. Drones, permanent sensors and owned laboratory equipment are unnecessary at this stage.</w:t>
      </w:r>
    </w:p>
    <w:p>
      <w:pPr>
        <w:pStyle w:val="Heading1"/>
      </w:pPr>
      <w:r>
        <w:t>Phase 2: Validate a supported farm pilot</w:t>
      </w:r>
    </w:p>
    <w:p>
      <w:r>
        <w:rPr>
          <w:b w:val="0"/>
        </w:rPr>
      </w:r>
      <w:r>
        <w:rPr>
          <w:b/>
        </w:rPr>
        <w:t>Purpose:</w:t>
      </w:r>
      <w:r>
        <w:rPr>
          <w:b w:val="0"/>
        </w:rPr>
        <w:t xml:space="preserve"> Assess the service across an actual growing season. Expand towards 25-50 farms only as delivery capacity allows.</w:t>
      </w:r>
    </w:p>
    <w:p>
      <w:r>
        <w:rPr>
          <w:b w:val="0"/>
        </w:rPr>
        <w:t>Choose a manageable crop and local group rather than trying to validate every crop at once. Collect traceable soil samples, obtain laboratory results, schedule follow-up and record inputs and harvests. The crop calendar determines evaluation timing.</w:t>
      </w:r>
    </w:p>
    <w:tbl>
      <w:tblPr>
        <w:tblStyle w:val="TableGrid"/>
        <w:tblW w:type="auto" w:w="0"/>
        <w:tblLook w:firstColumn="1" w:firstRow="1" w:lastColumn="0" w:lastRow="0" w:noHBand="0" w:noVBand="1" w:val="04A0"/>
      </w:tblPr>
      <w:tblGrid>
        <w:gridCol w:w="4876"/>
        <w:gridCol w:w="4876"/>
      </w:tblGrid>
      <w:tr>
        <w:trPr>
          <w:cantSplit/>
          <w:tblHeader/>
        </w:trPr>
        <w:tc>
          <w:tcPr>
            <w:tcW w:type="dxa" w:w="4193"/>
            <w:shd w:fill="153F35"/>
          </w:tcPr>
          <w:p>
            <w:r>
              <w:rPr>
                <w:b/>
                <w:color w:val="FFFFFF"/>
                <w:sz w:val="18"/>
              </w:rPr>
              <w:t>Additional equipment/resources</w:t>
            </w:r>
          </w:p>
        </w:tc>
        <w:tc>
          <w:tcPr>
            <w:tcW w:type="dxa" w:w="5558"/>
            <w:shd w:fill="153F35"/>
          </w:tcPr>
          <w:p>
            <w:r>
              <w:rPr>
                <w:b/>
                <w:color w:val="FFFFFF"/>
                <w:sz w:val="18"/>
              </w:rPr>
              <w:t>Use</w:t>
            </w:r>
          </w:p>
        </w:tc>
      </w:tr>
      <w:tr>
        <w:trPr>
          <w:cantSplit/>
        </w:trPr>
        <w:tc>
          <w:tcPr>
            <w:tcW w:type="dxa" w:w="4193"/>
            <w:shd w:fill="F1F5EC"/>
          </w:tcPr>
          <w:p>
            <w:r>
              <w:rPr>
                <w:b w:val="0"/>
                <w:sz w:val="18"/>
              </w:rPr>
              <w:t>Hand probe or auger, clean bucket and cleaning supplies</w:t>
            </w:r>
          </w:p>
        </w:tc>
        <w:tc>
          <w:tcPr>
            <w:tcW w:type="dxa" w:w="5558"/>
            <w:shd w:fill="F1F5EC"/>
          </w:tcPr>
          <w:p>
            <w:r>
              <w:rPr>
                <w:b w:val="0"/>
                <w:sz w:val="18"/>
              </w:rPr>
              <w:t>Representative manual soil collection</w:t>
            </w:r>
          </w:p>
        </w:tc>
      </w:tr>
      <w:tr>
        <w:trPr>
          <w:cantSplit/>
        </w:trPr>
        <w:tc>
          <w:tcPr>
            <w:tcW w:type="dxa" w:w="4193"/>
            <w:shd w:fill="FFFFFF"/>
          </w:tcPr>
          <w:p>
            <w:r>
              <w:rPr>
                <w:b w:val="0"/>
                <w:sz w:val="18"/>
              </w:rPr>
              <w:t>Sample bags, labels, gloves and transport box</w:t>
            </w:r>
          </w:p>
        </w:tc>
        <w:tc>
          <w:tcPr>
            <w:tcW w:type="dxa" w:w="5558"/>
            <w:shd w:fill="FFFFFF"/>
          </w:tcPr>
          <w:p>
            <w:r>
              <w:rPr>
                <w:b w:val="0"/>
                <w:sz w:val="18"/>
              </w:rPr>
              <w:t>Traceable sample handling</w:t>
            </w:r>
          </w:p>
        </w:tc>
      </w:tr>
      <w:tr>
        <w:trPr>
          <w:cantSplit/>
        </w:trPr>
        <w:tc>
          <w:tcPr>
            <w:tcW w:type="dxa" w:w="4193"/>
            <w:shd w:fill="F1F5EC"/>
          </w:tcPr>
          <w:p>
            <w:r>
              <w:rPr>
                <w:b w:val="0"/>
                <w:sz w:val="18"/>
              </w:rPr>
              <w:t>Laboratory partnership</w:t>
            </w:r>
          </w:p>
        </w:tc>
        <w:tc>
          <w:tcPr>
            <w:tcW w:type="dxa" w:w="5558"/>
            <w:shd w:fill="F1F5EC"/>
          </w:tcPr>
          <w:p>
            <w:r>
              <w:rPr>
                <w:b w:val="0"/>
                <w:sz w:val="18"/>
              </w:rPr>
              <w:t>Dependable testing without buying a laboratory</w:t>
            </w:r>
          </w:p>
        </w:tc>
      </w:tr>
      <w:tr>
        <w:trPr>
          <w:cantSplit/>
        </w:trPr>
        <w:tc>
          <w:tcPr>
            <w:tcW w:type="dxa" w:w="4193"/>
            <w:shd w:fill="FFFFFF"/>
          </w:tcPr>
          <w:p>
            <w:r>
              <w:rPr>
                <w:b w:val="0"/>
                <w:sz w:val="18"/>
              </w:rPr>
              <w:t>Shared weighing scale and grain-moisture measurement</w:t>
            </w:r>
          </w:p>
        </w:tc>
        <w:tc>
          <w:tcPr>
            <w:tcW w:type="dxa" w:w="5558"/>
            <w:shd w:fill="FFFFFF"/>
          </w:tcPr>
          <w:p>
            <w:r>
              <w:rPr>
                <w:b w:val="0"/>
                <w:sz w:val="18"/>
              </w:rPr>
              <w:t>Comparable harvest records where relevant</w:t>
            </w:r>
          </w:p>
        </w:tc>
      </w:tr>
    </w:tbl>
    <w:p>
      <w:pPr>
        <w:spacing w:after="0"/>
      </w:pPr>
    </w:p>
    <w:p>
      <w:r>
        <w:rPr>
          <w:b w:val="0"/>
        </w:rPr>
      </w:r>
      <w:r>
        <w:rPr>
          <w:b/>
        </w:rPr>
        <w:t>Value and decision:</w:t>
      </w:r>
      <w:r>
        <w:rPr>
          <w:b w:val="0"/>
        </w:rPr>
        <w:t xml:space="preserve"> Establish whether advice changes useful actions, what it costs to support a farm and whether farmers remain engaged. Do not claim that a yield change proves causation without considering weather, management and other differences.</w:t>
      </w:r>
    </w:p>
    <w:p>
      <w:r>
        <w:br w:type="page"/>
      </w:r>
    </w:p>
    <w:p>
      <w:pPr>
        <w:pStyle w:val="Heading1"/>
      </w:pPr>
      <w:r>
        <w:t>Phase 3: Add useful monitoring and management</w:t>
      </w:r>
    </w:p>
    <w:p>
      <w:r>
        <w:rPr>
          <w:b w:val="0"/>
        </w:rPr>
      </w:r>
      <w:r>
        <w:rPr>
          <w:b/>
        </w:rPr>
        <w:t>Purpose:</w:t>
      </w:r>
      <w:r>
        <w:rPr>
          <w:b w:val="0"/>
        </w:rPr>
        <w:t xml:space="preserve"> Improve follow-up and prioritise visits, without creating an equipment-heavy service.</w:t>
      </w:r>
    </w:p>
    <w:p>
      <w:r>
        <w:rPr>
          <w:b w:val="0"/>
        </w:rPr>
        <w:t>Adapt the existing research portal for staff to manage records, review cases and track progress. Trial hired camera-drone visits for selected plots. Add sensors only when readings can change a decision, such as irrigation timing. Check aerial observations on the ground.</w:t>
      </w:r>
    </w:p>
    <w:tbl>
      <w:tblPr>
        <w:tblStyle w:val="TableGrid"/>
        <w:tblW w:type="auto" w:w="0"/>
        <w:tblLook w:firstColumn="1" w:firstRow="1" w:lastColumn="0" w:lastRow="0" w:noHBand="0" w:noVBand="1" w:val="04A0"/>
      </w:tblPr>
      <w:tblGrid>
        <w:gridCol w:w="4876"/>
        <w:gridCol w:w="4876"/>
      </w:tblGrid>
      <w:tr>
        <w:trPr>
          <w:cantSplit/>
          <w:tblHeader/>
        </w:trPr>
        <w:tc>
          <w:tcPr>
            <w:tcW w:type="dxa" w:w="4193"/>
            <w:shd w:fill="153F35"/>
          </w:tcPr>
          <w:p>
            <w:r>
              <w:rPr>
                <w:b/>
                <w:color w:val="FFFFFF"/>
                <w:sz w:val="18"/>
              </w:rPr>
              <w:t>Equipment option</w:t>
            </w:r>
          </w:p>
        </w:tc>
        <w:tc>
          <w:tcPr>
            <w:tcW w:type="dxa" w:w="5558"/>
            <w:shd w:fill="153F35"/>
          </w:tcPr>
          <w:p>
            <w:r>
              <w:rPr>
                <w:b/>
                <w:color w:val="FFFFFF"/>
                <w:sz w:val="18"/>
              </w:rPr>
              <w:t>Condition for adding it</w:t>
            </w:r>
          </w:p>
        </w:tc>
      </w:tr>
      <w:tr>
        <w:trPr>
          <w:cantSplit/>
        </w:trPr>
        <w:tc>
          <w:tcPr>
            <w:tcW w:type="dxa" w:w="4193"/>
            <w:shd w:fill="F1F5EC"/>
          </w:tcPr>
          <w:p>
            <w:r>
              <w:rPr>
                <w:b w:val="0"/>
                <w:sz w:val="18"/>
              </w:rPr>
              <w:t>Hired camera drone and authorised operator</w:t>
            </w:r>
          </w:p>
        </w:tc>
        <w:tc>
          <w:tcPr>
            <w:tcW w:type="dxa" w:w="5558"/>
            <w:shd w:fill="F1F5EC"/>
          </w:tcPr>
          <w:p>
            <w:r>
              <w:rPr>
                <w:b w:val="0"/>
                <w:sz w:val="18"/>
              </w:rPr>
              <w:t>Aerial photographs answer a useful question beyond phone photographs</w:t>
            </w:r>
          </w:p>
        </w:tc>
      </w:tr>
      <w:tr>
        <w:trPr>
          <w:cantSplit/>
        </w:trPr>
        <w:tc>
          <w:tcPr>
            <w:tcW w:type="dxa" w:w="4193"/>
            <w:shd w:fill="FFFFFF"/>
          </w:tcPr>
          <w:p>
            <w:r>
              <w:rPr>
                <w:b w:val="0"/>
                <w:sz w:val="18"/>
              </w:rPr>
              <w:t>Owned camera drone, batteries, charger and accessories</w:t>
            </w:r>
          </w:p>
        </w:tc>
        <w:tc>
          <w:tcPr>
            <w:tcW w:type="dxa" w:w="5558"/>
            <w:shd w:fill="FFFFFF"/>
          </w:tcPr>
          <w:p>
            <w:r>
              <w:rPr>
                <w:b w:val="0"/>
                <w:sz w:val="18"/>
              </w:rPr>
              <w:t>Regular use justifies ownership, approvals and maintenance</w:t>
            </w:r>
          </w:p>
        </w:tc>
      </w:tr>
      <w:tr>
        <w:trPr>
          <w:cantSplit/>
        </w:trPr>
        <w:tc>
          <w:tcPr>
            <w:tcW w:type="dxa" w:w="4193"/>
            <w:shd w:fill="F1F5EC"/>
          </w:tcPr>
          <w:p>
            <w:r>
              <w:rPr>
                <w:b w:val="0"/>
                <w:sz w:val="18"/>
              </w:rPr>
              <w:t>Selected moisture sensors or a shared weather station</w:t>
            </w:r>
          </w:p>
        </w:tc>
        <w:tc>
          <w:tcPr>
            <w:tcW w:type="dxa" w:w="5558"/>
            <w:shd w:fill="F1F5EC"/>
          </w:tcPr>
          <w:p>
            <w:r>
              <w:rPr>
                <w:b w:val="0"/>
                <w:sz w:val="18"/>
              </w:rPr>
              <w:t>Reliable readings support a clear farming action</w:t>
            </w:r>
          </w:p>
        </w:tc>
      </w:tr>
      <w:tr>
        <w:trPr>
          <w:cantSplit/>
        </w:trPr>
        <w:tc>
          <w:tcPr>
            <w:tcW w:type="dxa" w:w="4193"/>
            <w:shd w:fill="FFFFFF"/>
          </w:tcPr>
          <w:p>
            <w:r>
              <w:rPr>
                <w:b w:val="0"/>
                <w:sz w:val="18"/>
              </w:rPr>
              <w:t>Optional portable soil-testing station</w:t>
            </w:r>
          </w:p>
        </w:tc>
        <w:tc>
          <w:tcPr>
            <w:tcW w:type="dxa" w:w="5558"/>
            <w:shd w:fill="FFFFFF"/>
          </w:tcPr>
          <w:p>
            <w:r>
              <w:rPr>
                <w:b w:val="0"/>
                <w:sz w:val="18"/>
              </w:rPr>
              <w:t>Testing volume, turnaround and quality justify it; retain reference-lab checks</w:t>
            </w:r>
          </w:p>
        </w:tc>
      </w:tr>
    </w:tbl>
    <w:p>
      <w:pPr>
        <w:spacing w:after="0"/>
      </w:pPr>
    </w:p>
    <w:p>
      <w:r>
        <w:rPr>
          <w:b w:val="0"/>
        </w:rPr>
      </w:r>
      <w:r>
        <w:rPr>
          <w:b/>
        </w:rPr>
        <w:t>Limits:</w:t>
      </w:r>
      <w:r>
        <w:rPr>
          <w:b w:val="0"/>
        </w:rPr>
        <w:t xml:space="preserve"> Ordinary camera drones do not collect soil or measure nutrients and do not provide true multispectral NDVI. Portable testing requires an operator, sample preparation, reagents and quality control; one kit will not automatically supply all model inputs.</w:t>
      </w:r>
    </w:p>
    <w:p>
      <w:pPr>
        <w:pStyle w:val="Heading1"/>
      </w:pPr>
      <w:r>
        <w:t>Phase 4: Expand with evidence</w:t>
      </w:r>
    </w:p>
    <w:p>
      <w:r>
        <w:rPr>
          <w:b w:val="0"/>
        </w:rPr>
      </w:r>
      <w:r>
        <w:rPr>
          <w:b/>
        </w:rPr>
        <w:t>Purpose:</w:t>
      </w:r>
      <w:r>
        <w:rPr>
          <w:b w:val="0"/>
        </w:rPr>
        <w:t xml:space="preserve"> Serve additional farmer groups and develop predictions supported by real local records.</w:t>
      </w:r>
    </w:p>
    <w:p>
      <w:r>
        <w:rPr>
          <w:b w:val="0"/>
        </w:rPr>
        <w:t>Start with similar farms before adding very different crops and regions. Work through cooperatives and extension partners. Compare prediction models with simple baselines and evaluate them on farms and seasons not used to develop them. Dependable yield prediction may require several growing seasons and much broader data than the initial pilot.</w:t>
      </w:r>
    </w:p>
    <w:tbl>
      <w:tblPr>
        <w:tblStyle w:val="TableGrid"/>
        <w:tblW w:type="auto" w:w="0"/>
        <w:tblLook w:firstColumn="1" w:firstRow="1" w:lastColumn="0" w:lastRow="0" w:noHBand="0" w:noVBand="1" w:val="04A0"/>
      </w:tblPr>
      <w:tblGrid>
        <w:gridCol w:w="4876"/>
        <w:gridCol w:w="4876"/>
      </w:tblGrid>
      <w:tr>
        <w:trPr>
          <w:cantSplit/>
          <w:tblHeader/>
        </w:trPr>
        <w:tc>
          <w:tcPr>
            <w:tcW w:type="dxa" w:w="4193"/>
            <w:shd w:fill="153F35"/>
          </w:tcPr>
          <w:p>
            <w:r>
              <w:rPr>
                <w:b/>
                <w:color w:val="FFFFFF"/>
                <w:sz w:val="18"/>
              </w:rPr>
              <w:t>Needed equipment/resources</w:t>
            </w:r>
          </w:p>
        </w:tc>
        <w:tc>
          <w:tcPr>
            <w:tcW w:type="dxa" w:w="5558"/>
            <w:shd w:fill="153F35"/>
          </w:tcPr>
          <w:p>
            <w:r>
              <w:rPr>
                <w:b/>
                <w:color w:val="FFFFFF"/>
                <w:sz w:val="18"/>
              </w:rPr>
              <w:t>Approach</w:t>
            </w:r>
          </w:p>
        </w:tc>
      </w:tr>
      <w:tr>
        <w:trPr>
          <w:cantSplit/>
        </w:trPr>
        <w:tc>
          <w:tcPr>
            <w:tcW w:type="dxa" w:w="4193"/>
            <w:shd w:fill="F1F5EC"/>
          </w:tcPr>
          <w:p>
            <w:r>
              <w:rPr>
                <w:b w:val="0"/>
                <w:sz w:val="18"/>
              </w:rPr>
              <w:t>Additional phones and sampling kits</w:t>
            </w:r>
          </w:p>
        </w:tc>
        <w:tc>
          <w:tcPr>
            <w:tcW w:type="dxa" w:w="5558"/>
            <w:shd w:fill="F1F5EC"/>
          </w:tcPr>
          <w:p>
            <w:r>
              <w:rPr>
                <w:b w:val="0"/>
                <w:sz w:val="18"/>
              </w:rPr>
              <w:t>Match staff coverage to the support workload</w:t>
            </w:r>
          </w:p>
        </w:tc>
      </w:tr>
      <w:tr>
        <w:trPr>
          <w:cantSplit/>
        </w:trPr>
        <w:tc>
          <w:tcPr>
            <w:tcW w:type="dxa" w:w="4193"/>
            <w:shd w:fill="FFFFFF"/>
          </w:tcPr>
          <w:p>
            <w:r>
              <w:rPr>
                <w:b w:val="0"/>
                <w:sz w:val="18"/>
              </w:rPr>
              <w:t>Shared monitoring equipment</w:t>
            </w:r>
          </w:p>
        </w:tc>
        <w:tc>
          <w:tcPr>
            <w:tcW w:type="dxa" w:w="5558"/>
            <w:shd w:fill="FFFFFF"/>
          </w:tcPr>
          <w:p>
            <w:r>
              <w:rPr>
                <w:b w:val="0"/>
                <w:sz w:val="18"/>
              </w:rPr>
              <w:t>Expand only where demonstrated use justifies it</w:t>
            </w:r>
          </w:p>
        </w:tc>
      </w:tr>
      <w:tr>
        <w:trPr>
          <w:cantSplit/>
        </w:trPr>
        <w:tc>
          <w:tcPr>
            <w:tcW w:type="dxa" w:w="4193"/>
            <w:shd w:fill="F1F5EC"/>
          </w:tcPr>
          <w:p>
            <w:r>
              <w:rPr>
                <w:b w:val="0"/>
                <w:sz w:val="18"/>
              </w:rPr>
              <w:t>Dependable hosted services and backups</w:t>
            </w:r>
          </w:p>
        </w:tc>
        <w:tc>
          <w:tcPr>
            <w:tcW w:type="dxa" w:w="5558"/>
            <w:shd w:fill="F1F5EC"/>
          </w:tcPr>
          <w:p>
            <w:r>
              <w:rPr>
                <w:b w:val="0"/>
                <w:sz w:val="18"/>
              </w:rPr>
              <w:t>Maintain access, privacy and continuity</w:t>
            </w:r>
          </w:p>
        </w:tc>
      </w:tr>
      <w:tr>
        <w:trPr>
          <w:cantSplit/>
        </w:trPr>
        <w:tc>
          <w:tcPr>
            <w:tcW w:type="dxa" w:w="4193"/>
            <w:shd w:fill="FFFFFF"/>
          </w:tcPr>
          <w:p>
            <w:r>
              <w:rPr>
                <w:b w:val="0"/>
                <w:sz w:val="18"/>
              </w:rPr>
              <w:t>Specialist computing when needed</w:t>
            </w:r>
          </w:p>
        </w:tc>
        <w:tc>
          <w:tcPr>
            <w:tcW w:type="dxa" w:w="5558"/>
            <w:shd w:fill="FFFFFF"/>
          </w:tcPr>
          <w:p>
            <w:r>
              <w:rPr>
                <w:b w:val="0"/>
                <w:sz w:val="18"/>
              </w:rPr>
              <w:t>Use temporary capacity; an owned AI server is not an automatic requirement</w:t>
            </w:r>
          </w:p>
        </w:tc>
      </w:tr>
    </w:tbl>
    <w:p>
      <w:pPr>
        <w:spacing w:after="0"/>
      </w:pPr>
    </w:p>
    <w:p>
      <w:r>
        <w:rPr>
          <w:b w:val="0"/>
        </w:rPr>
      </w:r>
      <w:r>
        <w:rPr>
          <w:b/>
        </w:rPr>
        <w:t>Move forward when:</w:t>
      </w:r>
      <w:r>
        <w:rPr>
          <w:b w:val="0"/>
        </w:rPr>
        <w:t xml:space="preserve"> Service quality, delivery cost and funding are sustainable; prediction uncertainty is understood; professional oversight and privacy safeguards can be maintained as the service grows.</w:t>
      </w:r>
    </w:p>
    <w:p>
      <w:r>
        <w:br w:type="page"/>
      </w:r>
    </w:p>
    <w:p>
      <w:pPr>
        <w:pStyle w:val="Heading1"/>
      </w:pPr>
      <w:r>
        <w:t>Phase 5: Explore selective automation</w:t>
      </w:r>
    </w:p>
    <w:p>
      <w:r>
        <w:rPr>
          <w:b w:val="0"/>
        </w:rPr>
      </w:r>
      <w:r>
        <w:rPr>
          <w:b/>
        </w:rPr>
        <w:t>Purpose:</w:t>
      </w:r>
      <w:r>
        <w:rPr>
          <w:b w:val="0"/>
        </w:rPr>
        <w:t xml:space="preserve"> Address a proven bottleneck, not introduce robotics for its own sake. This is a later, separately assessed development stream, not a promised product release.</w:t>
      </w:r>
    </w:p>
    <w:tbl>
      <w:tblPr>
        <w:tblStyle w:val="TableGrid"/>
        <w:tblW w:type="auto" w:w="0"/>
        <w:tblLook w:firstColumn="1" w:firstRow="1" w:lastColumn="0" w:lastRow="0" w:noHBand="0" w:noVBand="1" w:val="04A0"/>
      </w:tblPr>
      <w:tblGrid>
        <w:gridCol w:w="4876"/>
        <w:gridCol w:w="4876"/>
      </w:tblGrid>
      <w:tr>
        <w:trPr>
          <w:cantSplit/>
          <w:tblHeader/>
        </w:trPr>
        <w:tc>
          <w:tcPr>
            <w:tcW w:type="dxa" w:w="4193"/>
            <w:shd w:fill="153F35"/>
          </w:tcPr>
          <w:p>
            <w:r>
              <w:rPr>
                <w:b/>
                <w:color w:val="FFFFFF"/>
                <w:sz w:val="18"/>
              </w:rPr>
              <w:t>Possible development</w:t>
            </w:r>
          </w:p>
        </w:tc>
        <w:tc>
          <w:tcPr>
            <w:tcW w:type="dxa" w:w="5558"/>
            <w:shd w:fill="153F35"/>
          </w:tcPr>
          <w:p>
            <w:r>
              <w:rPr>
                <w:b/>
                <w:color w:val="FFFFFF"/>
                <w:sz w:val="18"/>
              </w:rPr>
              <w:t>What it needs</w:t>
            </w:r>
          </w:p>
        </w:tc>
      </w:tr>
      <w:tr>
        <w:trPr>
          <w:cantSplit/>
        </w:trPr>
        <w:tc>
          <w:tcPr>
            <w:tcW w:type="dxa" w:w="4193"/>
            <w:shd w:fill="F1F5EC"/>
          </w:tcPr>
          <w:p>
            <w:r>
              <w:rPr>
                <w:b w:val="0"/>
                <w:sz w:val="18"/>
              </w:rPr>
              <w:t>Ground-based soil sampling</w:t>
            </w:r>
          </w:p>
        </w:tc>
        <w:tc>
          <w:tcPr>
            <w:tcW w:type="dxa" w:w="5558"/>
            <w:shd w:fill="F1F5EC"/>
          </w:tcPr>
          <w:p>
            <w:r>
              <w:rPr>
                <w:b w:val="0"/>
                <w:sz w:val="18"/>
              </w:rPr>
              <w:t>A suitable platform, sampler, cleaning and sample-tracking arrangements</w:t>
            </w:r>
          </w:p>
        </w:tc>
      </w:tr>
      <w:tr>
        <w:trPr>
          <w:cantSplit/>
        </w:trPr>
        <w:tc>
          <w:tcPr>
            <w:tcW w:type="dxa" w:w="4193"/>
            <w:shd w:fill="FFFFFF"/>
          </w:tcPr>
          <w:p>
            <w:r>
              <w:rPr>
                <w:b w:val="0"/>
                <w:sz w:val="18"/>
              </w:rPr>
              <w:t>Drone-mounted soil collection research</w:t>
            </w:r>
          </w:p>
        </w:tc>
        <w:tc>
          <w:tcPr>
            <w:tcW w:type="dxa" w:w="5558"/>
            <w:shd w:fill="FFFFFF"/>
          </w:tcPr>
          <w:p>
            <w:r>
              <w:rPr>
                <w:b w:val="0"/>
                <w:sz w:val="18"/>
              </w:rPr>
              <w:t>A proven compatible aircraft, engineered collector, controls and supervised field trials</w:t>
            </w:r>
          </w:p>
        </w:tc>
      </w:tr>
      <w:tr>
        <w:trPr>
          <w:cantSplit/>
        </w:trPr>
        <w:tc>
          <w:tcPr>
            <w:tcW w:type="dxa" w:w="4193"/>
            <w:shd w:fill="F1F5EC"/>
          </w:tcPr>
          <w:p>
            <w:r>
              <w:rPr>
                <w:b w:val="0"/>
                <w:sz w:val="18"/>
              </w:rPr>
              <w:t>Assisted irrigation</w:t>
            </w:r>
          </w:p>
        </w:tc>
        <w:tc>
          <w:tcPr>
            <w:tcW w:type="dxa" w:w="5558"/>
            <w:shd w:fill="F1F5EC"/>
          </w:tcPr>
          <w:p>
            <w:r>
              <w:rPr>
                <w:b w:val="0"/>
                <w:sz w:val="18"/>
              </w:rPr>
              <w:t>Reliable sensors and controllers, manual override and fail-safe arrangements</w:t>
            </w:r>
          </w:p>
        </w:tc>
      </w:tr>
      <w:tr>
        <w:trPr>
          <w:cantSplit/>
        </w:trPr>
        <w:tc>
          <w:tcPr>
            <w:tcW w:type="dxa" w:w="4193"/>
            <w:shd w:fill="FFFFFF"/>
          </w:tcPr>
          <w:p>
            <w:r>
              <w:rPr>
                <w:b w:val="0"/>
                <w:sz w:val="18"/>
              </w:rPr>
              <w:t>Specialist crop monitoring</w:t>
            </w:r>
          </w:p>
        </w:tc>
        <w:tc>
          <w:tcPr>
            <w:tcW w:type="dxa" w:w="5558"/>
            <w:shd w:fill="FFFFFF"/>
          </w:tcPr>
          <w:p>
            <w:r>
              <w:rPr>
                <w:b w:val="0"/>
                <w:sz w:val="18"/>
              </w:rPr>
              <w:t>Appropriate cameras, processing and field validation</w:t>
            </w:r>
          </w:p>
        </w:tc>
      </w:tr>
    </w:tbl>
    <w:p>
      <w:pPr>
        <w:spacing w:after="0"/>
      </w:pPr>
    </w:p>
    <w:p>
      <w:r>
        <w:rPr>
          <w:b w:val="0"/>
        </w:rPr>
        <w:t>Do not buy a heavy-lift aircraft before the collector design, soil interaction, safety and operating requirements are established. Every option requires specialist partners, training, maintenance, applicable approvals and comparison with simpler alternatives.</w:t>
      </w:r>
    </w:p>
    <w:p>
      <w:pPr>
        <w:pStyle w:val="Heading1"/>
      </w:pPr>
      <w:r>
        <w:t>Impact should be demonstrated at every stage</w:t>
      </w:r>
    </w:p>
    <w:tbl>
      <w:tblPr>
        <w:tblStyle w:val="TableGrid"/>
        <w:tblW w:type="auto" w:w="0"/>
        <w:tblLook w:firstColumn="1" w:firstRow="1" w:lastColumn="0" w:lastRow="0" w:noHBand="0" w:noVBand="1" w:val="04A0"/>
      </w:tblPr>
      <w:tblGrid>
        <w:gridCol w:w="4876"/>
        <w:gridCol w:w="4876"/>
      </w:tblGrid>
      <w:tr>
        <w:trPr>
          <w:cantSplit/>
          <w:tblHeader/>
        </w:trPr>
        <w:tc>
          <w:tcPr>
            <w:tcW w:type="dxa" w:w="3413"/>
            <w:shd w:fill="153F35"/>
          </w:tcPr>
          <w:p>
            <w:r>
              <w:rPr>
                <w:b/>
                <w:color w:val="FFFFFF"/>
                <w:sz w:val="18"/>
              </w:rPr>
              <w:t>Intended value</w:t>
            </w:r>
          </w:p>
        </w:tc>
        <w:tc>
          <w:tcPr>
            <w:tcW w:type="dxa" w:w="6338"/>
            <w:shd w:fill="153F35"/>
          </w:tcPr>
          <w:p>
            <w:r>
              <w:rPr>
                <w:b/>
                <w:color w:val="FFFFFF"/>
                <w:sz w:val="18"/>
              </w:rPr>
              <w:t>Evidence</w:t>
            </w:r>
          </w:p>
        </w:tc>
      </w:tr>
      <w:tr>
        <w:trPr>
          <w:cantSplit/>
        </w:trPr>
        <w:tc>
          <w:tcPr>
            <w:tcW w:type="dxa" w:w="3413"/>
            <w:shd w:fill="F1F5EC"/>
          </w:tcPr>
          <w:p>
            <w:r>
              <w:rPr>
                <w:b w:val="0"/>
                <w:sz w:val="18"/>
              </w:rPr>
              <w:t>Accessible support</w:t>
            </w:r>
          </w:p>
        </w:tc>
        <w:tc>
          <w:tcPr>
            <w:tcW w:type="dxa" w:w="6338"/>
            <w:shd w:fill="F1F5EC"/>
          </w:tcPr>
          <w:p>
            <w:r>
              <w:rPr>
                <w:b w:val="0"/>
                <w:sz w:val="18"/>
              </w:rPr>
              <w:t>Advice understood, repeat use and follow-through</w:t>
            </w:r>
          </w:p>
        </w:tc>
      </w:tr>
      <w:tr>
        <w:trPr>
          <w:cantSplit/>
        </w:trPr>
        <w:tc>
          <w:tcPr>
            <w:tcW w:type="dxa" w:w="3413"/>
            <w:shd w:fill="FFFFFF"/>
          </w:tcPr>
          <w:p>
            <w:r>
              <w:rPr>
                <w:b w:val="0"/>
                <w:sz w:val="18"/>
              </w:rPr>
              <w:t>Better use of resources</w:t>
            </w:r>
          </w:p>
        </w:tc>
        <w:tc>
          <w:tcPr>
            <w:tcW w:type="dxa" w:w="6338"/>
            <w:shd w:fill="FFFFFF"/>
          </w:tcPr>
          <w:p>
            <w:r>
              <w:rPr>
                <w:b w:val="0"/>
                <w:sz w:val="18"/>
              </w:rPr>
              <w:t>Input quantities, costs and reasons for changes</w:t>
            </w:r>
          </w:p>
        </w:tc>
      </w:tr>
      <w:tr>
        <w:trPr>
          <w:cantSplit/>
        </w:trPr>
        <w:tc>
          <w:tcPr>
            <w:tcW w:type="dxa" w:w="3413"/>
            <w:shd w:fill="F1F5EC"/>
          </w:tcPr>
          <w:p>
            <w:r>
              <w:rPr>
                <w:b w:val="0"/>
                <w:sz w:val="18"/>
              </w:rPr>
              <w:t>Timely intervention</w:t>
            </w:r>
          </w:p>
        </w:tc>
        <w:tc>
          <w:tcPr>
            <w:tcW w:type="dxa" w:w="6338"/>
            <w:shd w:fill="F1F5EC"/>
          </w:tcPr>
          <w:p>
            <w:r>
              <w:rPr>
                <w:b w:val="0"/>
                <w:sz w:val="18"/>
              </w:rPr>
              <w:t>Reporting, review and action times</w:t>
            </w:r>
          </w:p>
        </w:tc>
      </w:tr>
      <w:tr>
        <w:trPr>
          <w:cantSplit/>
        </w:trPr>
        <w:tc>
          <w:tcPr>
            <w:tcW w:type="dxa" w:w="3413"/>
            <w:shd w:fill="FFFFFF"/>
          </w:tcPr>
          <w:p>
            <w:r>
              <w:rPr>
                <w:b w:val="0"/>
                <w:sz w:val="18"/>
              </w:rPr>
              <w:t>Farm outcomes</w:t>
            </w:r>
          </w:p>
        </w:tc>
        <w:tc>
          <w:tcPr>
            <w:tcW w:type="dxa" w:w="6338"/>
            <w:shd w:fill="FFFFFF"/>
          </w:tcPr>
          <w:p>
            <w:r>
              <w:rPr>
                <w:b w:val="0"/>
                <w:sz w:val="18"/>
              </w:rPr>
              <w:t>Comparable harvest and income records, with relevant differences considered</w:t>
            </w:r>
          </w:p>
        </w:tc>
      </w:tr>
      <w:tr>
        <w:trPr>
          <w:cantSplit/>
        </w:trPr>
        <w:tc>
          <w:tcPr>
            <w:tcW w:type="dxa" w:w="3413"/>
            <w:shd w:fill="F1F5EC"/>
          </w:tcPr>
          <w:p>
            <w:r>
              <w:rPr>
                <w:b w:val="0"/>
                <w:sz w:val="18"/>
              </w:rPr>
              <w:t>Local capacity</w:t>
            </w:r>
          </w:p>
        </w:tc>
        <w:tc>
          <w:tcPr>
            <w:tcW w:type="dxa" w:w="6338"/>
            <w:shd w:fill="F1F5EC"/>
          </w:tcPr>
          <w:p>
            <w:r>
              <w:rPr>
                <w:b w:val="0"/>
                <w:sz w:val="18"/>
              </w:rPr>
              <w:t>Training, effective partnerships and continued farmer participation</w:t>
            </w:r>
          </w:p>
        </w:tc>
      </w:tr>
    </w:tbl>
    <w:p>
      <w:pPr>
        <w:spacing w:after="0"/>
      </w:pPr>
    </w:p>
    <w:p>
      <w:pPr>
        <w:pStyle w:val="Heading1"/>
      </w:pPr>
      <w:r>
        <w:t>Safeguards and current limitations</w:t>
      </w:r>
    </w:p>
    <w:p>
      <w:r>
        <w:rPr>
          <w:b w:val="0"/>
        </w:rPr>
        <w:t>Collect information with consent, keep farmer identities out of public materials and provide referral when evidence is insufficient. The research model used simulated data and remains experimental. Early pesticide and weather benefits are farmer-reported, not independently verified. No fixed yield or income improvement is promised.</w:t>
      </w:r>
    </w:p>
    <w:p>
      <w:r>
        <w:rPr>
          <w:b w:val="0"/>
        </w:rPr>
      </w:r>
      <w:r>
        <w:rPr>
          <w:b/>
        </w:rPr>
        <w:t>The destination:</w:t>
      </w:r>
      <w:r>
        <w:rPr>
          <w:b w:val="0"/>
        </w:rPr>
        <w:t xml:space="preserve"> A trusted, shared agricultural support service. The route is to learn from the first five farmers, demonstrate value, then add people, data and equipment in that order.</w:t>
      </w:r>
    </w:p>
    <w:sectPr w:rsidR="00FC693F" w:rsidRPr="0006063C" w:rsidSect="00034616">
      <w:headerReference w:type="default" r:id="rId9"/>
      <w:footerReference w:type="default" r:id="rId10"/>
      <w:pgSz w:w="11906" w:h="16838"/>
      <w:pgMar w:top="1134" w:right="1077" w:bottom="113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Martin Ruto | Phased project roadmap | 28 October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DIGITAL AGRONOMIST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3F35"/>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53F3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Agronomist - A phased roadmap from five farmers to a shared agricultural service</dc:title>
  <dc:subject/>
  <dc:creator>Martin Ruto</dc:creator>
  <cp:keywords/>
  <dc:description>generated by python-docx</dc:description>
  <cp:lastModifiedBy/>
  <cp:revision>1</cp:revision>
  <dcterms:created xsi:type="dcterms:W3CDTF">2013-12-23T23:15:00Z</dcterms:created>
  <dcterms:modified xsi:type="dcterms:W3CDTF">2013-12-23T23:15:00Z</dcterms:modified>
  <cp:category/>
</cp:coreProperties>
</file>