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Digital Agronomist</w:t>
      </w:r>
    </w:p>
    <w:p>
      <w:pPr>
        <w:pStyle w:val="Subtitle"/>
      </w:pPr>
      <w:r>
        <w:t>From master's research to a live, farmer-focused advisory service</w:t>
      </w:r>
    </w:p>
    <w:p>
      <w:r>
        <w:rPr>
          <w:b w:val="0"/>
        </w:rPr>
      </w:r>
      <w:r>
        <w:rPr>
          <w:b/>
        </w:rPr>
        <w:t>Builder:</w:t>
      </w:r>
      <w:r>
        <w:rPr>
          <w:b w:val="0"/>
        </w:rPr>
        <w:t xml:space="preserve"> Martin Ruto | </w:t>
      </w:r>
      <w:r>
        <w:rPr>
          <w:b/>
        </w:rPr>
        <w:t>Initial locations:</w:t>
      </w:r>
      <w:r>
        <w:rPr>
          <w:b w:val="0"/>
        </w:rPr>
        <w:t xml:space="preserve"> Bomet and Mwea, Kenya</w:t>
      </w:r>
    </w:p>
    <w:p>
      <w:pPr>
        <w:pStyle w:val="Heading1"/>
      </w:pPr>
      <w:r>
        <w:t>The idea</w:t>
      </w:r>
    </w:p>
    <w:p>
      <w:r>
        <w:rPr>
          <w:b w:val="0"/>
        </w:rPr>
        <w:t>Give farmers useful agricultural guidance through a channel they already use: WhatsApp. Digital Agronomist starts with weather questions and crop photographs, with a longer-term goal of combining farm history, soil results and professional agricultural knowledge into practical, farm-specific support.</w:t>
      </w:r>
    </w:p>
    <w:p>
      <w:pPr>
        <w:pStyle w:val="Heading1"/>
      </w:pPr>
      <w:r>
        <w:t>What is live today</w:t>
      </w:r>
    </w:p>
    <w:tbl>
      <w:tblPr>
        <w:tblStyle w:val="TableGrid"/>
        <w:tblW w:type="auto" w:w="0"/>
        <w:tblLook w:firstColumn="1" w:firstRow="1" w:lastColumn="0" w:lastRow="0" w:noHBand="0" w:noVBand="1" w:val="04A0"/>
      </w:tblPr>
      <w:tblGrid>
        <w:gridCol w:w="4876"/>
        <w:gridCol w:w="4876"/>
      </w:tblGrid>
      <w:tr>
        <w:trPr>
          <w:cantSplit/>
          <w:tblHeader/>
        </w:trPr>
        <w:tc>
          <w:tcPr>
            <w:tcW w:type="dxa" w:w="3120"/>
            <w:shd w:fill="153F35"/>
          </w:tcPr>
          <w:p>
            <w:r>
              <w:rPr>
                <w:b/>
                <w:color w:val="FFFFFF"/>
                <w:sz w:val="18"/>
              </w:rPr>
              <w:t>Current position</w:t>
            </w:r>
          </w:p>
        </w:tc>
        <w:tc>
          <w:tcPr>
            <w:tcW w:type="dxa" w:w="6631"/>
            <w:shd w:fill="153F35"/>
          </w:tcPr>
          <w:p>
            <w:r>
              <w:rPr>
                <w:b/>
                <w:color w:val="FFFFFF"/>
                <w:sz w:val="18"/>
              </w:rPr>
              <w:t>As reported by the builder</w:t>
            </w:r>
          </w:p>
        </w:tc>
      </w:tr>
      <w:tr>
        <w:trPr>
          <w:cantSplit/>
        </w:trPr>
        <w:tc>
          <w:tcPr>
            <w:tcW w:type="dxa" w:w="3120"/>
            <w:shd w:fill="F1F5EC"/>
          </w:tcPr>
          <w:p>
            <w:r>
              <w:rPr>
                <w:b w:val="0"/>
                <w:sz w:val="18"/>
              </w:rPr>
              <w:t>Launch</w:t>
            </w:r>
          </w:p>
        </w:tc>
        <w:tc>
          <w:tcPr>
            <w:tcW w:type="dxa" w:w="6631"/>
            <w:shd w:fill="F1F5EC"/>
          </w:tcPr>
          <w:p>
            <w:r>
              <w:rPr>
                <w:b w:val="0"/>
                <w:sz w:val="18"/>
              </w:rPr>
              <w:t>October 2026</w:t>
            </w:r>
          </w:p>
        </w:tc>
      </w:tr>
      <w:tr>
        <w:trPr>
          <w:cantSplit/>
        </w:trPr>
        <w:tc>
          <w:tcPr>
            <w:tcW w:type="dxa" w:w="3120"/>
            <w:shd w:fill="FFFFFF"/>
          </w:tcPr>
          <w:p>
            <w:r>
              <w:rPr>
                <w:b w:val="0"/>
                <w:sz w:val="18"/>
              </w:rPr>
              <w:t>Initial users</w:t>
            </w:r>
          </w:p>
        </w:tc>
        <w:tc>
          <w:tcPr>
            <w:tcW w:type="dxa" w:w="6631"/>
            <w:shd w:fill="FFFFFF"/>
          </w:tcPr>
          <w:p>
            <w:r>
              <w:rPr>
                <w:b w:val="0"/>
                <w:sz w:val="18"/>
              </w:rPr>
              <w:t>Five farmers in Bomet and Mwea</w:t>
            </w:r>
          </w:p>
        </w:tc>
      </w:tr>
      <w:tr>
        <w:trPr>
          <w:cantSplit/>
        </w:trPr>
        <w:tc>
          <w:tcPr>
            <w:tcW w:type="dxa" w:w="3120"/>
            <w:shd w:fill="F1F5EC"/>
          </w:tcPr>
          <w:p>
            <w:r>
              <w:rPr>
                <w:b w:val="0"/>
                <w:sz w:val="18"/>
              </w:rPr>
              <w:t>Crops represented</w:t>
            </w:r>
          </w:p>
        </w:tc>
        <w:tc>
          <w:tcPr>
            <w:tcW w:type="dxa" w:w="6631"/>
            <w:shd w:fill="F1F5EC"/>
          </w:tcPr>
          <w:p>
            <w:r>
              <w:rPr>
                <w:b w:val="0"/>
                <w:sz w:val="18"/>
              </w:rPr>
              <w:t>Maize, beans and rice</w:t>
            </w:r>
          </w:p>
        </w:tc>
      </w:tr>
      <w:tr>
        <w:trPr>
          <w:cantSplit/>
        </w:trPr>
        <w:tc>
          <w:tcPr>
            <w:tcW w:type="dxa" w:w="3120"/>
            <w:shd w:fill="FFFFFF"/>
          </w:tcPr>
          <w:p>
            <w:r>
              <w:rPr>
                <w:b w:val="0"/>
                <w:sz w:val="18"/>
              </w:rPr>
              <w:t>Early usage</w:t>
            </w:r>
          </w:p>
        </w:tc>
        <w:tc>
          <w:tcPr>
            <w:tcW w:type="dxa" w:w="6631"/>
            <w:shd w:fill="FFFFFF"/>
          </w:tcPr>
          <w:p>
            <w:r>
              <w:rPr>
                <w:b w:val="0"/>
                <w:sz w:val="18"/>
              </w:rPr>
              <w:t>Approximately 20 messages in a week</w:t>
            </w:r>
          </w:p>
        </w:tc>
      </w:tr>
      <w:tr>
        <w:trPr>
          <w:cantSplit/>
        </w:trPr>
        <w:tc>
          <w:tcPr>
            <w:tcW w:type="dxa" w:w="3120"/>
            <w:shd w:fill="F1F5EC"/>
          </w:tcPr>
          <w:p>
            <w:r>
              <w:rPr>
                <w:b w:val="0"/>
                <w:sz w:val="18"/>
              </w:rPr>
              <w:t>Current questions</w:t>
            </w:r>
          </w:p>
        </w:tc>
        <w:tc>
          <w:tcPr>
            <w:tcW w:type="dxa" w:w="6631"/>
            <w:shd w:fill="F1F5EC"/>
          </w:tcPr>
          <w:p>
            <w:r>
              <w:rPr>
                <w:b w:val="0"/>
                <w:sz w:val="18"/>
              </w:rPr>
              <w:t>Weather and advice based on crop photographs</w:t>
            </w:r>
          </w:p>
        </w:tc>
      </w:tr>
    </w:tbl>
    <w:p>
      <w:pPr>
        <w:spacing w:after="0"/>
      </w:pPr>
    </w:p>
    <w:p>
      <w:r>
        <w:rPr>
          <w:b w:val="0"/>
        </w:rPr>
        <w:t>Farmers have reported that the advice helped them select a pesticide for their crops and prepare for upcoming weather. These are early, self-reported experiences. Pesticide suitability, crop diagnoses, yield improvements and income benefits have not been independently verified.</w:t>
      </w:r>
    </w:p>
    <w:p>
      <w:pPr>
        <w:pStyle w:val="Heading1"/>
      </w:pPr>
      <w:r>
        <w:t>What I have built</w:t>
      </w:r>
    </w:p>
    <w:p>
      <w:r>
        <w:rPr>
          <w:b w:val="0"/>
        </w:rPr>
        <w:t>I designed and implemented the system myself, using my master's project as the foundation. The research prototype includes a web portal, backend, WhatsApp integration and an experimental model combining soil data with crop-image features. The WhatsApp service is now in early live use; the wider prototype should not be confused with a fully deployed field system.</w:t>
      </w:r>
    </w:p>
    <w:p>
      <w:pPr>
        <w:pStyle w:val="Heading1"/>
      </w:pPr>
      <w:r>
        <w:t>Why this matters</w:t>
      </w:r>
    </w:p>
    <w:p>
      <w:r>
        <w:rPr>
          <w:b w:val="0"/>
        </w:rPr>
        <w:t>Farmers make time-sensitive decisions with incomplete information. Advice that is difficult to access or disconnected from a farm's actual conditions can be hard to use. The project explores whether a familiar conversation, supported by better records and specialist input, can make relevant guidance easier to act on.</w:t>
      </w:r>
    </w:p>
    <w:p>
      <w:r>
        <w:br w:type="page"/>
      </w:r>
    </w:p>
    <w:p>
      <w:pPr>
        <w:pStyle w:val="Heading1"/>
      </w:pPr>
      <w:r>
        <w:t>What comes next</w:t>
      </w:r>
    </w:p>
    <w:p>
      <w:pPr>
        <w:pStyle w:val="ListBullet"/>
      </w:pPr>
      <w:r>
        <w:rPr>
          <w:b w:val="0"/>
        </w:rPr>
        <w:t>Strengthen reliability, maintain useful farm histories and record farmer feedback and follow-up.</w:t>
      </w:r>
    </w:p>
    <w:p>
      <w:pPr>
        <w:pStyle w:val="ListBullet"/>
      </w:pPr>
      <w:r>
        <w:rPr>
          <w:b w:val="0"/>
        </w:rPr>
        <w:t>Develop opt-in requests for crop updates and relevant weather notifications. Proactive alerts are in development, not claimed as already deployed.</w:t>
      </w:r>
    </w:p>
    <w:p>
      <w:pPr>
        <w:pStyle w:val="ListBullet"/>
      </w:pPr>
      <w:r>
        <w:rPr>
          <w:b w:val="0"/>
        </w:rPr>
        <w:t>Establish agronomist oversight and a laboratory partnership for soil-informed recommendations.</w:t>
      </w:r>
    </w:p>
    <w:p>
      <w:pPr>
        <w:pStyle w:val="ListBullet"/>
      </w:pPr>
      <w:r>
        <w:rPr>
          <w:b w:val="0"/>
        </w:rPr>
        <w:t>Expand towards a supported pilot of 25-50 farms over a suitable growing season, subject to reliable delivery and participation.</w:t>
      </w:r>
    </w:p>
    <w:p>
      <w:pPr>
        <w:pStyle w:val="ListBullet"/>
      </w:pPr>
      <w:r>
        <w:rPr>
          <w:b w:val="0"/>
        </w:rPr>
        <w:t>Use actual farm and harvest records to assess benefits before investing in advanced monitoring or locally validated yield prediction.</w:t>
      </w:r>
    </w:p>
    <w:p>
      <w:pPr>
        <w:pStyle w:val="Heading1"/>
      </w:pPr>
      <w:r>
        <w:t>What support would unlock</w:t>
      </w:r>
    </w:p>
    <w:p>
      <w:r>
        <w:rPr>
          <w:b w:val="0"/>
        </w:rPr>
        <w:t>Support would sustain hosting and messaging, provide time to improve the service, enable agricultural partnerships and help collect dependable local data. The priority is a useful, trusted service and measurable outcomes, not an immediate purchase of expensive machinery.</w:t>
      </w:r>
    </w:p>
    <w:p>
      <w:pPr>
        <w:pStyle w:val="Heading1"/>
      </w:pPr>
      <w:r>
        <w:t>How value will be assessed</w:t>
      </w:r>
    </w:p>
    <w:tbl>
      <w:tblPr>
        <w:tblStyle w:val="TableGrid"/>
        <w:tblW w:type="auto" w:w="0"/>
        <w:tblLook w:firstColumn="1" w:firstRow="1" w:lastColumn="0" w:lastRow="0" w:noHBand="0" w:noVBand="1" w:val="04A0"/>
      </w:tblPr>
      <w:tblGrid>
        <w:gridCol w:w="4876"/>
        <w:gridCol w:w="4876"/>
      </w:tblGrid>
      <w:tr>
        <w:trPr>
          <w:cantSplit/>
          <w:tblHeader/>
        </w:trPr>
        <w:tc>
          <w:tcPr>
            <w:tcW w:type="dxa" w:w="3510"/>
            <w:shd w:fill="153F35"/>
          </w:tcPr>
          <w:p>
            <w:r>
              <w:rPr>
                <w:b/>
                <w:color w:val="FFFFFF"/>
                <w:sz w:val="18"/>
              </w:rPr>
              <w:t>Intended benefit</w:t>
            </w:r>
          </w:p>
        </w:tc>
        <w:tc>
          <w:tcPr>
            <w:tcW w:type="dxa" w:w="6241"/>
            <w:shd w:fill="153F35"/>
          </w:tcPr>
          <w:p>
            <w:r>
              <w:rPr>
                <w:b/>
                <w:color w:val="FFFFFF"/>
                <w:sz w:val="18"/>
              </w:rPr>
              <w:t>Evidence to collect</w:t>
            </w:r>
          </w:p>
        </w:tc>
      </w:tr>
      <w:tr>
        <w:trPr>
          <w:cantSplit/>
        </w:trPr>
        <w:tc>
          <w:tcPr>
            <w:tcW w:type="dxa" w:w="3510"/>
            <w:shd w:fill="F1F5EC"/>
          </w:tcPr>
          <w:p>
            <w:r>
              <w:rPr>
                <w:b w:val="0"/>
                <w:sz w:val="18"/>
              </w:rPr>
              <w:t>Useful, accessible advice</w:t>
            </w:r>
          </w:p>
        </w:tc>
        <w:tc>
          <w:tcPr>
            <w:tcW w:type="dxa" w:w="6241"/>
            <w:shd w:fill="F1F5EC"/>
          </w:tcPr>
          <w:p>
            <w:r>
              <w:rPr>
                <w:b w:val="0"/>
                <w:sz w:val="18"/>
              </w:rPr>
              <w:t>Repeat use, farmer understanding and actions taken</w:t>
            </w:r>
          </w:p>
        </w:tc>
      </w:tr>
      <w:tr>
        <w:trPr>
          <w:cantSplit/>
        </w:trPr>
        <w:tc>
          <w:tcPr>
            <w:tcW w:type="dxa" w:w="3510"/>
            <w:shd w:fill="FFFFFF"/>
          </w:tcPr>
          <w:p>
            <w:r>
              <w:rPr>
                <w:b w:val="0"/>
                <w:sz w:val="18"/>
              </w:rPr>
              <w:t>More timely support</w:t>
            </w:r>
          </w:p>
        </w:tc>
        <w:tc>
          <w:tcPr>
            <w:tcW w:type="dxa" w:w="6241"/>
            <w:shd w:fill="FFFFFF"/>
          </w:tcPr>
          <w:p>
            <w:r>
              <w:rPr>
                <w:b w:val="0"/>
                <w:sz w:val="18"/>
              </w:rPr>
              <w:t>Response and follow-up times</w:t>
            </w:r>
          </w:p>
        </w:tc>
      </w:tr>
      <w:tr>
        <w:trPr>
          <w:cantSplit/>
        </w:trPr>
        <w:tc>
          <w:tcPr>
            <w:tcW w:type="dxa" w:w="3510"/>
            <w:shd w:fill="F1F5EC"/>
          </w:tcPr>
          <w:p>
            <w:r>
              <w:rPr>
                <w:b w:val="0"/>
                <w:sz w:val="18"/>
              </w:rPr>
              <w:t>Better-informed spending</w:t>
            </w:r>
          </w:p>
        </w:tc>
        <w:tc>
          <w:tcPr>
            <w:tcW w:type="dxa" w:w="6241"/>
            <w:shd w:fill="F1F5EC"/>
          </w:tcPr>
          <w:p>
            <w:r>
              <w:rPr>
                <w:b w:val="0"/>
                <w:sz w:val="18"/>
              </w:rPr>
              <w:t>Input quantities, costs and reasons for changes</w:t>
            </w:r>
          </w:p>
        </w:tc>
      </w:tr>
      <w:tr>
        <w:trPr>
          <w:cantSplit/>
        </w:trPr>
        <w:tc>
          <w:tcPr>
            <w:tcW w:type="dxa" w:w="3510"/>
            <w:shd w:fill="FFFFFF"/>
          </w:tcPr>
          <w:p>
            <w:r>
              <w:rPr>
                <w:b w:val="0"/>
                <w:sz w:val="18"/>
              </w:rPr>
              <w:t>Improved farm performance</w:t>
            </w:r>
          </w:p>
        </w:tc>
        <w:tc>
          <w:tcPr>
            <w:tcW w:type="dxa" w:w="6241"/>
            <w:shd w:fill="FFFFFF"/>
          </w:tcPr>
          <w:p>
            <w:r>
              <w:rPr>
                <w:b w:val="0"/>
                <w:sz w:val="18"/>
              </w:rPr>
              <w:t>Harvest and income records, with weather and management differences considered</w:t>
            </w:r>
          </w:p>
        </w:tc>
      </w:tr>
      <w:tr>
        <w:trPr>
          <w:cantSplit/>
        </w:trPr>
        <w:tc>
          <w:tcPr>
            <w:tcW w:type="dxa" w:w="3510"/>
            <w:shd w:fill="F1F5EC"/>
          </w:tcPr>
          <w:p>
            <w:r>
              <w:rPr>
                <w:b w:val="0"/>
                <w:sz w:val="18"/>
              </w:rPr>
              <w:t>A sustainable service</w:t>
            </w:r>
          </w:p>
        </w:tc>
        <w:tc>
          <w:tcPr>
            <w:tcW w:type="dxa" w:w="6241"/>
            <w:shd w:fill="F1F5EC"/>
          </w:tcPr>
          <w:p>
            <w:r>
              <w:rPr>
                <w:b w:val="0"/>
                <w:sz w:val="18"/>
              </w:rPr>
              <w:t>Delivery cost per farm, specialist workload and willingness to pay</w:t>
            </w:r>
          </w:p>
        </w:tc>
      </w:tr>
    </w:tbl>
    <w:p>
      <w:pPr>
        <w:spacing w:after="0"/>
      </w:pPr>
    </w:p>
    <w:p>
      <w:pPr>
        <w:pStyle w:val="Heading1"/>
      </w:pPr>
      <w:r>
        <w:t>Evidence and honest limitations</w:t>
      </w:r>
    </w:p>
    <w:p>
      <w:r>
        <w:rPr>
          <w:b w:val="0"/>
        </w:rPr>
        <w:t>The master's research included 84 complete survey responses and 10 interviews. Those research participants are not the current service's user count. The yield model used simulated maize and beans data because representative local sensing data were unavailable. It is not field-validated, and the live advisory launch does not validate its predictions.</w:t>
      </w:r>
    </w:p>
    <w:p>
      <w:r>
        <w:rPr>
          <w:b w:val="0"/>
        </w:rPr>
        <w:t>No fixed yield or income increase is promised. Recommendations with significant consequences need appropriate professional review. Farmer information should be collected with consent, limited to what is needed and kept out of public demonstrations.</w:t>
      </w:r>
    </w:p>
    <w:p>
      <w:r>
        <w:rPr>
          <w:b w:val="0"/>
        </w:rPr>
      </w:r>
      <w:r>
        <w:rPr>
          <w:b/>
        </w:rPr>
        <w:t>Long-term ambition:</w:t>
      </w:r>
      <w:r>
        <w:rPr>
          <w:b w:val="0"/>
        </w:rPr>
        <w:t xml:space="preserve"> A shared advisory service for farmer groups, with testing, monitoring and predictions added only when they demonstrate practical value.</w:t>
      </w:r>
    </w:p>
    <w:sectPr w:rsidR="00FC693F" w:rsidRPr="0006063C" w:rsidSect="00034616">
      <w:headerReference w:type="default" r:id="rId9"/>
      <w:footerReference w:type="default" r:id="rId10"/>
      <w:pgSz w:w="11906" w:h="16838"/>
      <w:pgMar w:top="1134" w:right="1077" w:bottom="1134"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Martin Ruto | Project overview | 28 October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DIGITAL AGRONOMIST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4" w:lineRule="auto" w:after="140"/>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53F35"/>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53F35"/>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Agronomist - From master's research to a live, farmer-focused advisory service</dc:title>
  <dc:subject/>
  <dc:creator>Martin Ruto</dc:creator>
  <cp:keywords/>
  <dc:description>generated by python-docx</dc:description>
  <cp:lastModifiedBy/>
  <cp:revision>1</cp:revision>
  <dcterms:created xsi:type="dcterms:W3CDTF">2013-12-23T23:15:00Z</dcterms:created>
  <dcterms:modified xsi:type="dcterms:W3CDTF">2013-12-23T23:15:00Z</dcterms:modified>
  <cp:category/>
</cp:coreProperties>
</file>